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38"/>
        <w:gridCol w:w="5952"/>
      </w:tblGrid>
      <w:tr w:rsidR="00105C7E" w:rsidTr="006F5A0F">
        <w:tc>
          <w:tcPr>
            <w:tcW w:w="10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C7E" w:rsidRPr="00105C7E" w:rsidRDefault="00687949" w:rsidP="00CE5958">
            <w:pPr>
              <w:rPr>
                <w:rFonts w:ascii="Arial Bold"/>
                <w:b/>
                <w:color w:val="0D2456"/>
                <w:sz w:val="24"/>
              </w:rPr>
            </w:pPr>
            <w:r>
              <w:rPr>
                <w:rFonts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-1216660</wp:posOffset>
                      </wp:positionV>
                      <wp:extent cx="10676890" cy="822960"/>
                      <wp:effectExtent l="11430" t="12065" r="8255" b="1270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689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C4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B05" w:rsidRPr="006F5A0F" w:rsidRDefault="00C97B05" w:rsidP="008B2AA3">
                                  <w:pPr>
                                    <w:ind w:left="432"/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  <w:p w:rsidR="00C97B05" w:rsidRPr="00105C7E" w:rsidRDefault="00C97B05" w:rsidP="008B2AA3">
                                  <w:pPr>
                                    <w:ind w:left="288"/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Risk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0.85pt;margin-top:-95.8pt;width:840.7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" fillcolor="#008c44">
                      <v:textbox>
                        <w:txbxContent>
                          <w:p w:rsidR="00C97B05" w:rsidRPr="006F5A0F" w:rsidRDefault="00C97B05" w:rsidP="008B2AA3">
                            <w:pPr>
                              <w:ind w:left="432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C97B05" w:rsidRPr="00105C7E" w:rsidRDefault="00C97B05" w:rsidP="008B2AA3">
                            <w:pPr>
                              <w:ind w:left="288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Risk assessment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5C7E" w:rsidRPr="00105C7E">
              <w:rPr>
                <w:rFonts w:ascii="Arial Bold"/>
                <w:b/>
                <w:color w:val="0D2456"/>
                <w:sz w:val="24"/>
              </w:rPr>
              <w:t>This is the statement of general policy an</w:t>
            </w:r>
            <w:bookmarkStart w:id="0" w:name="_GoBack"/>
            <w:bookmarkEnd w:id="0"/>
            <w:r w:rsidR="00105C7E" w:rsidRPr="00105C7E">
              <w:rPr>
                <w:rFonts w:ascii="Arial Bold"/>
                <w:b/>
                <w:color w:val="0D2456"/>
                <w:sz w:val="24"/>
              </w:rPr>
              <w:t>d arrangements for:</w:t>
            </w:r>
          </w:p>
        </w:tc>
        <w:tc>
          <w:tcPr>
            <w:tcW w:w="5952" w:type="dxa"/>
            <w:tcBorders>
              <w:left w:val="single" w:sz="4" w:space="0" w:color="auto"/>
            </w:tcBorders>
            <w:shd w:val="clear" w:color="auto" w:fill="auto"/>
          </w:tcPr>
          <w:p w:rsidR="00814414" w:rsidRPr="00BA4A20" w:rsidRDefault="00BA4A20" w:rsidP="006C6923">
            <w:pPr>
              <w:rPr>
                <w:sz w:val="24"/>
              </w:rPr>
            </w:pPr>
            <w:r>
              <w:rPr>
                <w:sz w:val="24"/>
              </w:rPr>
              <w:t xml:space="preserve">Birkbeck - School of </w:t>
            </w:r>
            <w:r w:rsidR="006C6923">
              <w:rPr>
                <w:sz w:val="24"/>
              </w:rPr>
              <w:t>xxx</w:t>
            </w:r>
          </w:p>
        </w:tc>
      </w:tr>
      <w:tr w:rsidR="00105C7E" w:rsidTr="006F5A0F">
        <w:tc>
          <w:tcPr>
            <w:tcW w:w="10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C7E" w:rsidRPr="00105C7E" w:rsidRDefault="00105C7E" w:rsidP="00CE5958">
            <w:pPr>
              <w:rPr>
                <w:rFonts w:ascii="Arial Bold"/>
                <w:b/>
                <w:color w:val="0D2456"/>
                <w:sz w:val="24"/>
              </w:rPr>
            </w:pPr>
            <w:r w:rsidRPr="00105C7E">
              <w:rPr>
                <w:rFonts w:ascii="Arial Bold"/>
                <w:b/>
                <w:color w:val="0D2456"/>
                <w:sz w:val="24"/>
              </w:rPr>
              <w:t>Overall and final responsibility for health and safety is that of:</w:t>
            </w:r>
          </w:p>
        </w:tc>
        <w:tc>
          <w:tcPr>
            <w:tcW w:w="5952" w:type="dxa"/>
            <w:tcBorders>
              <w:left w:val="single" w:sz="4" w:space="0" w:color="auto"/>
            </w:tcBorders>
            <w:shd w:val="clear" w:color="auto" w:fill="auto"/>
          </w:tcPr>
          <w:p w:rsidR="00105C7E" w:rsidRDefault="00BA4A20" w:rsidP="00CE5958">
            <w:pPr>
              <w:rPr>
                <w:sz w:val="24"/>
              </w:rPr>
            </w:pPr>
            <w:bookmarkStart w:id="1" w:name="Text2"/>
            <w:r>
              <w:rPr>
                <w:sz w:val="24"/>
              </w:rPr>
              <w:t>Birkbeck – Health and Safety Services</w:t>
            </w:r>
            <w:bookmarkEnd w:id="1"/>
          </w:p>
          <w:p w:rsidR="00814414" w:rsidRPr="00814414" w:rsidRDefault="00814414" w:rsidP="00CE5958">
            <w:pPr>
              <w:rPr>
                <w:sz w:val="20"/>
                <w:szCs w:val="20"/>
              </w:rPr>
            </w:pPr>
          </w:p>
        </w:tc>
      </w:tr>
      <w:tr w:rsidR="00105C7E" w:rsidTr="006F5A0F">
        <w:tc>
          <w:tcPr>
            <w:tcW w:w="10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C7E" w:rsidRPr="00105C7E" w:rsidRDefault="00105C7E" w:rsidP="00CE5958">
            <w:pPr>
              <w:rPr>
                <w:rFonts w:ascii="Arial Bold"/>
                <w:b/>
                <w:color w:val="0D2456"/>
                <w:sz w:val="24"/>
              </w:rPr>
            </w:pPr>
            <w:r w:rsidRPr="00105C7E">
              <w:rPr>
                <w:rFonts w:ascii="Arial Bold"/>
                <w:b/>
                <w:color w:val="0D2456"/>
                <w:sz w:val="24"/>
              </w:rPr>
              <w:t>Day-to-day responsibility for ensuring this policy is put into practice is delegated to:</w:t>
            </w:r>
          </w:p>
        </w:tc>
        <w:tc>
          <w:tcPr>
            <w:tcW w:w="5952" w:type="dxa"/>
            <w:tcBorders>
              <w:left w:val="single" w:sz="4" w:space="0" w:color="auto"/>
            </w:tcBorders>
            <w:shd w:val="clear" w:color="auto" w:fill="auto"/>
          </w:tcPr>
          <w:p w:rsidR="00105C7E" w:rsidRPr="00105C7E" w:rsidRDefault="00105C7E" w:rsidP="00CA623E">
            <w:pPr>
              <w:rPr>
                <w:sz w:val="24"/>
              </w:rPr>
            </w:pPr>
          </w:p>
        </w:tc>
      </w:tr>
    </w:tbl>
    <w:p w:rsidR="00131ECC" w:rsidRDefault="00131ECC" w:rsidP="00CE5958"/>
    <w:p w:rsidR="00A01AA4" w:rsidRPr="00A01AA4" w:rsidRDefault="00A01AA4" w:rsidP="00A01AA4"/>
    <w:p w:rsidR="00A01AA4" w:rsidRDefault="00BA4A20" w:rsidP="00A01AA4">
      <w:r>
        <w:rPr>
          <w:b/>
          <w:sz w:val="22"/>
        </w:rPr>
        <w:t>Venue</w:t>
      </w:r>
      <w:r w:rsidR="00A01AA4" w:rsidRPr="00A01AA4">
        <w:rPr>
          <w:b/>
          <w:sz w:val="22"/>
        </w:rPr>
        <w:t xml:space="preserve"> </w:t>
      </w:r>
      <w:r w:rsidR="004B51B9">
        <w:rPr>
          <w:b/>
          <w:sz w:val="22"/>
        </w:rPr>
        <w:t>n</w:t>
      </w:r>
      <w:r w:rsidR="00A01AA4" w:rsidRPr="00A01AA4">
        <w:rPr>
          <w:b/>
          <w:sz w:val="22"/>
        </w:rPr>
        <w:t xml:space="preserve">ame: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99"/>
        <w:gridCol w:w="2880"/>
        <w:gridCol w:w="4319"/>
        <w:gridCol w:w="3788"/>
        <w:gridCol w:w="1342"/>
        <w:gridCol w:w="1245"/>
        <w:gridCol w:w="1017"/>
      </w:tblGrid>
      <w:tr w:rsidR="00A01AA4" w:rsidRPr="00A01AA4" w:rsidTr="006C6923">
        <w:trPr>
          <w:tblHeader/>
        </w:trPr>
        <w:tc>
          <w:tcPr>
            <w:tcW w:w="466" w:type="pct"/>
          </w:tcPr>
          <w:p w:rsidR="00A01AA4" w:rsidRPr="00A01AA4" w:rsidRDefault="00A01AA4" w:rsidP="00A01AA4">
            <w:pPr>
              <w:rPr>
                <w:b/>
              </w:rPr>
            </w:pPr>
            <w:r w:rsidRPr="00A01AA4">
              <w:rPr>
                <w:b/>
              </w:rPr>
              <w:t>What are the hazards?</w:t>
            </w:r>
          </w:p>
        </w:tc>
        <w:tc>
          <w:tcPr>
            <w:tcW w:w="895" w:type="pct"/>
          </w:tcPr>
          <w:p w:rsidR="00A01AA4" w:rsidRPr="00A01AA4" w:rsidRDefault="00A01AA4" w:rsidP="00A01AA4">
            <w:pPr>
              <w:rPr>
                <w:b/>
              </w:rPr>
            </w:pPr>
            <w:r w:rsidRPr="00A01AA4">
              <w:rPr>
                <w:b/>
              </w:rPr>
              <w:t>Who might be harmed and how?</w:t>
            </w:r>
          </w:p>
        </w:tc>
        <w:tc>
          <w:tcPr>
            <w:tcW w:w="1342" w:type="pct"/>
          </w:tcPr>
          <w:p w:rsidR="00A01AA4" w:rsidRPr="00A01AA4" w:rsidRDefault="00A01AA4" w:rsidP="00BA4A20">
            <w:pPr>
              <w:rPr>
                <w:b/>
              </w:rPr>
            </w:pPr>
            <w:r w:rsidRPr="00A01AA4">
              <w:rPr>
                <w:b/>
              </w:rPr>
              <w:t xml:space="preserve">What </w:t>
            </w:r>
            <w:r w:rsidR="00BA4A20">
              <w:rPr>
                <w:b/>
              </w:rPr>
              <w:t>is the venue</w:t>
            </w:r>
            <w:r w:rsidRPr="00A01AA4">
              <w:rPr>
                <w:b/>
              </w:rPr>
              <w:t xml:space="preserve"> already doing?</w:t>
            </w:r>
          </w:p>
        </w:tc>
        <w:tc>
          <w:tcPr>
            <w:tcW w:w="1177" w:type="pct"/>
          </w:tcPr>
          <w:p w:rsidR="00A01AA4" w:rsidRPr="00A01AA4" w:rsidRDefault="00157D49" w:rsidP="00A01AA4">
            <w:pPr>
              <w:rPr>
                <w:b/>
              </w:rPr>
            </w:pPr>
            <w:r>
              <w:rPr>
                <w:b/>
              </w:rPr>
              <w:t>Do you need to do anything else to manage this risk?</w:t>
            </w:r>
          </w:p>
        </w:tc>
        <w:tc>
          <w:tcPr>
            <w:tcW w:w="417" w:type="pct"/>
          </w:tcPr>
          <w:p w:rsidR="00A01AA4" w:rsidRPr="00A01AA4" w:rsidRDefault="00A01AA4" w:rsidP="00A01AA4">
            <w:pPr>
              <w:rPr>
                <w:b/>
              </w:rPr>
            </w:pPr>
            <w:r w:rsidRPr="00A01AA4">
              <w:rPr>
                <w:b/>
              </w:rPr>
              <w:t>Action by whom?</w:t>
            </w:r>
          </w:p>
        </w:tc>
        <w:tc>
          <w:tcPr>
            <w:tcW w:w="387" w:type="pct"/>
          </w:tcPr>
          <w:p w:rsidR="00A01AA4" w:rsidRPr="00A01AA4" w:rsidRDefault="00A01AA4" w:rsidP="00A01AA4">
            <w:pPr>
              <w:rPr>
                <w:b/>
              </w:rPr>
            </w:pPr>
            <w:r w:rsidRPr="00A01AA4">
              <w:rPr>
                <w:b/>
              </w:rPr>
              <w:t>Action by when?</w:t>
            </w:r>
          </w:p>
        </w:tc>
        <w:tc>
          <w:tcPr>
            <w:tcW w:w="316" w:type="pct"/>
          </w:tcPr>
          <w:p w:rsidR="00A01AA4" w:rsidRPr="00A01AA4" w:rsidRDefault="00A01AA4" w:rsidP="00A01AA4">
            <w:pPr>
              <w:rPr>
                <w:b/>
              </w:rPr>
            </w:pPr>
            <w:r w:rsidRPr="00A01AA4">
              <w:rPr>
                <w:b/>
              </w:rPr>
              <w:t>Done</w:t>
            </w:r>
          </w:p>
        </w:tc>
      </w:tr>
      <w:tr w:rsidR="009B3E5B" w:rsidTr="006E14CC">
        <w:tblPrEx>
          <w:tblLook w:val="04A0" w:firstRow="1" w:lastRow="0" w:firstColumn="1" w:lastColumn="0" w:noHBand="0" w:noVBand="1"/>
        </w:tblPrEx>
        <w:tc>
          <w:tcPr>
            <w:tcW w:w="466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895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1342" w:type="pct"/>
          </w:tcPr>
          <w:p w:rsidR="009B3E5B" w:rsidRDefault="009B3E5B" w:rsidP="00D64898">
            <w:pPr>
              <w:rPr>
                <w:i/>
              </w:rPr>
            </w:pPr>
          </w:p>
        </w:tc>
        <w:tc>
          <w:tcPr>
            <w:tcW w:w="1177" w:type="pct"/>
          </w:tcPr>
          <w:p w:rsidR="009B3E5B" w:rsidRDefault="009B3E5B" w:rsidP="006C6923">
            <w:pPr>
              <w:rPr>
                <w:i/>
              </w:rPr>
            </w:pPr>
          </w:p>
        </w:tc>
        <w:tc>
          <w:tcPr>
            <w:tcW w:w="417" w:type="pct"/>
          </w:tcPr>
          <w:p w:rsidR="009B3E5B" w:rsidRDefault="009B3E5B" w:rsidP="009B3E5B">
            <w:pPr>
              <w:rPr>
                <w:i/>
              </w:rPr>
            </w:pPr>
          </w:p>
        </w:tc>
        <w:tc>
          <w:tcPr>
            <w:tcW w:w="387" w:type="pct"/>
            <w:hideMark/>
          </w:tcPr>
          <w:p w:rsidR="009B3E5B" w:rsidRDefault="009B3E5B" w:rsidP="009706D0">
            <w:pPr>
              <w:rPr>
                <w:i/>
              </w:rPr>
            </w:pPr>
          </w:p>
        </w:tc>
        <w:tc>
          <w:tcPr>
            <w:tcW w:w="316" w:type="pct"/>
            <w:hideMark/>
          </w:tcPr>
          <w:p w:rsidR="009B3E5B" w:rsidRDefault="009B3E5B" w:rsidP="006C6923">
            <w:pPr>
              <w:rPr>
                <w:i/>
              </w:rPr>
            </w:pPr>
          </w:p>
        </w:tc>
      </w:tr>
      <w:tr w:rsidR="009B3E5B" w:rsidTr="006E14CC">
        <w:tblPrEx>
          <w:tblLook w:val="04A0" w:firstRow="1" w:lastRow="0" w:firstColumn="1" w:lastColumn="0" w:noHBand="0" w:noVBand="1"/>
        </w:tblPrEx>
        <w:tc>
          <w:tcPr>
            <w:tcW w:w="466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895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1342" w:type="pct"/>
          </w:tcPr>
          <w:p w:rsidR="009B3E5B" w:rsidRDefault="009B3E5B" w:rsidP="00D64898">
            <w:pPr>
              <w:rPr>
                <w:i/>
              </w:rPr>
            </w:pPr>
          </w:p>
        </w:tc>
        <w:tc>
          <w:tcPr>
            <w:tcW w:w="1177" w:type="pct"/>
          </w:tcPr>
          <w:p w:rsidR="009B3E5B" w:rsidRDefault="009B3E5B" w:rsidP="00CA623E">
            <w:pPr>
              <w:rPr>
                <w:i/>
              </w:rPr>
            </w:pPr>
          </w:p>
        </w:tc>
        <w:tc>
          <w:tcPr>
            <w:tcW w:w="417" w:type="pct"/>
          </w:tcPr>
          <w:p w:rsidR="009B3E5B" w:rsidRDefault="009B3E5B" w:rsidP="009B3E5B">
            <w:pPr>
              <w:rPr>
                <w:i/>
              </w:rPr>
            </w:pPr>
          </w:p>
        </w:tc>
        <w:tc>
          <w:tcPr>
            <w:tcW w:w="387" w:type="pct"/>
          </w:tcPr>
          <w:p w:rsidR="009B3E5B" w:rsidRDefault="009B3E5B" w:rsidP="00D64898">
            <w:pPr>
              <w:rPr>
                <w:i/>
              </w:rPr>
            </w:pPr>
          </w:p>
        </w:tc>
        <w:tc>
          <w:tcPr>
            <w:tcW w:w="316" w:type="pct"/>
          </w:tcPr>
          <w:p w:rsidR="009B3E5B" w:rsidRDefault="009B3E5B" w:rsidP="006C6923">
            <w:pPr>
              <w:rPr>
                <w:i/>
              </w:rPr>
            </w:pPr>
          </w:p>
        </w:tc>
      </w:tr>
      <w:tr w:rsidR="009B3E5B" w:rsidTr="006E14CC">
        <w:tblPrEx>
          <w:tblLook w:val="04A0" w:firstRow="1" w:lastRow="0" w:firstColumn="1" w:lastColumn="0" w:noHBand="0" w:noVBand="1"/>
        </w:tblPrEx>
        <w:tc>
          <w:tcPr>
            <w:tcW w:w="466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895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1342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1177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417" w:type="pct"/>
          </w:tcPr>
          <w:p w:rsidR="009B3E5B" w:rsidRDefault="009B3E5B">
            <w:pPr>
              <w:rPr>
                <w:i/>
              </w:rPr>
            </w:pPr>
          </w:p>
        </w:tc>
        <w:tc>
          <w:tcPr>
            <w:tcW w:w="387" w:type="pct"/>
            <w:hideMark/>
          </w:tcPr>
          <w:p w:rsidR="009B3E5B" w:rsidRDefault="009B3E5B" w:rsidP="00D64898">
            <w:pPr>
              <w:rPr>
                <w:i/>
              </w:rPr>
            </w:pPr>
          </w:p>
        </w:tc>
        <w:tc>
          <w:tcPr>
            <w:tcW w:w="316" w:type="pct"/>
            <w:hideMark/>
          </w:tcPr>
          <w:p w:rsidR="009B3E5B" w:rsidRDefault="009B3E5B" w:rsidP="00E96478">
            <w:pPr>
              <w:rPr>
                <w:i/>
              </w:rPr>
            </w:pPr>
          </w:p>
        </w:tc>
      </w:tr>
      <w:tr w:rsidR="009B3E5B" w:rsidRPr="00C97B05" w:rsidTr="006C6923">
        <w:tc>
          <w:tcPr>
            <w:tcW w:w="466" w:type="pct"/>
          </w:tcPr>
          <w:p w:rsidR="009B3E5B" w:rsidRPr="00C97B05" w:rsidRDefault="009B3E5B" w:rsidP="00B77427">
            <w:pPr>
              <w:rPr>
                <w:i/>
              </w:rPr>
            </w:pPr>
          </w:p>
        </w:tc>
        <w:tc>
          <w:tcPr>
            <w:tcW w:w="895" w:type="pct"/>
          </w:tcPr>
          <w:p w:rsidR="009B3E5B" w:rsidRPr="00C97B05" w:rsidRDefault="009B3E5B" w:rsidP="00B77427">
            <w:pPr>
              <w:rPr>
                <w:i/>
              </w:rPr>
            </w:pPr>
          </w:p>
        </w:tc>
        <w:tc>
          <w:tcPr>
            <w:tcW w:w="1342" w:type="pct"/>
          </w:tcPr>
          <w:p w:rsidR="009B3E5B" w:rsidRPr="00C97B05" w:rsidRDefault="009B3E5B" w:rsidP="00B77427">
            <w:pPr>
              <w:rPr>
                <w:i/>
              </w:rPr>
            </w:pPr>
          </w:p>
        </w:tc>
        <w:tc>
          <w:tcPr>
            <w:tcW w:w="1177" w:type="pct"/>
          </w:tcPr>
          <w:p w:rsidR="009B3E5B" w:rsidRPr="00C97B05" w:rsidRDefault="009B3E5B" w:rsidP="009706D0">
            <w:pPr>
              <w:rPr>
                <w:i/>
              </w:rPr>
            </w:pPr>
          </w:p>
        </w:tc>
        <w:tc>
          <w:tcPr>
            <w:tcW w:w="417" w:type="pct"/>
          </w:tcPr>
          <w:p w:rsidR="009B3E5B" w:rsidRDefault="009B3E5B" w:rsidP="00E96478">
            <w:pPr>
              <w:rPr>
                <w:i/>
              </w:rPr>
            </w:pPr>
          </w:p>
        </w:tc>
        <w:tc>
          <w:tcPr>
            <w:tcW w:w="387" w:type="pct"/>
          </w:tcPr>
          <w:p w:rsidR="009B3E5B" w:rsidRDefault="009B3E5B" w:rsidP="00D64898">
            <w:pPr>
              <w:rPr>
                <w:i/>
              </w:rPr>
            </w:pPr>
          </w:p>
        </w:tc>
        <w:tc>
          <w:tcPr>
            <w:tcW w:w="316" w:type="pct"/>
          </w:tcPr>
          <w:p w:rsidR="009B3E5B" w:rsidRDefault="009B3E5B" w:rsidP="00E96478">
            <w:pPr>
              <w:rPr>
                <w:i/>
              </w:rPr>
            </w:pPr>
          </w:p>
        </w:tc>
      </w:tr>
    </w:tbl>
    <w:p w:rsidR="00A01AA4" w:rsidRPr="00C97B05" w:rsidRDefault="00A01AA4" w:rsidP="00A01AA4">
      <w:pPr>
        <w:rPr>
          <w:i/>
        </w:rPr>
      </w:pPr>
    </w:p>
    <w:p w:rsidR="00B267E7" w:rsidRDefault="00B267E7" w:rsidP="00C97B05">
      <w:pPr>
        <w:rPr>
          <w:b/>
          <w:sz w:val="22"/>
        </w:rPr>
      </w:pPr>
    </w:p>
    <w:p w:rsidR="00B267E7" w:rsidRDefault="00B267E7" w:rsidP="00C97B05">
      <w:pPr>
        <w:rPr>
          <w:b/>
          <w:sz w:val="22"/>
        </w:rPr>
      </w:pPr>
    </w:p>
    <w:p w:rsidR="00C97B05" w:rsidRPr="00A01AA4" w:rsidRDefault="00C97B05" w:rsidP="00C97B05">
      <w:pPr>
        <w:rPr>
          <w:b/>
          <w:sz w:val="22"/>
        </w:rPr>
      </w:pPr>
      <w:r>
        <w:rPr>
          <w:b/>
          <w:sz w:val="22"/>
        </w:rPr>
        <w:t>Date</w:t>
      </w:r>
      <w:r w:rsidRPr="00A01AA4">
        <w:rPr>
          <w:b/>
          <w:sz w:val="22"/>
        </w:rPr>
        <w:t>:</w:t>
      </w:r>
      <w:r w:rsidR="006C6923">
        <w:rPr>
          <w:b/>
          <w:sz w:val="22"/>
        </w:rPr>
        <w:tab/>
      </w:r>
      <w:r w:rsidR="006C6923">
        <w:rPr>
          <w:b/>
          <w:sz w:val="22"/>
        </w:rPr>
        <w:tab/>
      </w:r>
      <w:r w:rsidR="006C6923">
        <w:rPr>
          <w:b/>
          <w:sz w:val="22"/>
        </w:rPr>
        <w:tab/>
      </w:r>
      <w:r w:rsidR="009706D0">
        <w:rPr>
          <w:b/>
          <w:sz w:val="22"/>
        </w:rPr>
        <w:tab/>
      </w:r>
      <w:r>
        <w:rPr>
          <w:b/>
          <w:sz w:val="22"/>
        </w:rPr>
        <w:t>Name of Event:</w:t>
      </w:r>
      <w:r w:rsidR="009706D0">
        <w:rPr>
          <w:b/>
          <w:sz w:val="22"/>
        </w:rPr>
        <w:tab/>
      </w:r>
      <w:r w:rsidR="009706D0">
        <w:rPr>
          <w:b/>
          <w:sz w:val="22"/>
        </w:rPr>
        <w:tab/>
      </w:r>
      <w:r w:rsidR="009706D0">
        <w:rPr>
          <w:b/>
          <w:sz w:val="22"/>
        </w:rPr>
        <w:tab/>
      </w:r>
      <w:r w:rsidR="009706D0">
        <w:rPr>
          <w:b/>
          <w:sz w:val="22"/>
        </w:rPr>
        <w:tab/>
        <w:t xml:space="preserve"> </w:t>
      </w:r>
      <w:r w:rsidR="009706D0">
        <w:rPr>
          <w:b/>
          <w:sz w:val="22"/>
        </w:rPr>
        <w:tab/>
      </w:r>
      <w:r>
        <w:rPr>
          <w:b/>
          <w:sz w:val="22"/>
        </w:rPr>
        <w:t xml:space="preserve">Name of Assessor: </w:t>
      </w:r>
    </w:p>
    <w:p w:rsidR="00C97B05" w:rsidRDefault="00C97B05" w:rsidP="00C97B05"/>
    <w:p w:rsidR="00157D49" w:rsidRPr="00C97B05" w:rsidRDefault="00157D49" w:rsidP="00157D49">
      <w:pPr>
        <w:rPr>
          <w:i/>
        </w:rPr>
      </w:pPr>
    </w:p>
    <w:sectPr w:rsidR="00157D49" w:rsidRPr="00C97B05" w:rsidSect="00105C7E">
      <w:headerReference w:type="default" r:id="rId8"/>
      <w:pgSz w:w="16838" w:h="11906" w:orient="landscape" w:code="9"/>
      <w:pgMar w:top="1728" w:right="432" w:bottom="432" w:left="43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A7" w:rsidRDefault="00A639A7" w:rsidP="00DB4E9D">
      <w:pPr>
        <w:pStyle w:val="Bullet1"/>
      </w:pPr>
      <w:r>
        <w:separator/>
      </w:r>
    </w:p>
  </w:endnote>
  <w:endnote w:type="continuationSeparator" w:id="0">
    <w:p w:rsidR="00A639A7" w:rsidRDefault="00A639A7" w:rsidP="00DB4E9D">
      <w:pPr>
        <w:pStyle w:val="Bulle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A7" w:rsidRDefault="00A639A7" w:rsidP="00DB4E9D">
      <w:pPr>
        <w:pStyle w:val="Bullet1"/>
      </w:pPr>
      <w:r>
        <w:separator/>
      </w:r>
    </w:p>
  </w:footnote>
  <w:footnote w:type="continuationSeparator" w:id="0">
    <w:p w:rsidR="00A639A7" w:rsidRDefault="00A639A7" w:rsidP="00DB4E9D">
      <w:pPr>
        <w:pStyle w:val="Bulle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05" w:rsidRDefault="00C97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4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16385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E"/>
    <w:rsid w:val="000460E6"/>
    <w:rsid w:val="0004669E"/>
    <w:rsid w:val="000715BD"/>
    <w:rsid w:val="000B4E40"/>
    <w:rsid w:val="000C5A4F"/>
    <w:rsid w:val="000D0129"/>
    <w:rsid w:val="00105C7E"/>
    <w:rsid w:val="00131ECC"/>
    <w:rsid w:val="00157D49"/>
    <w:rsid w:val="00200CB7"/>
    <w:rsid w:val="0021074A"/>
    <w:rsid w:val="00216018"/>
    <w:rsid w:val="0023129A"/>
    <w:rsid w:val="0024049A"/>
    <w:rsid w:val="002C2EEF"/>
    <w:rsid w:val="003A1434"/>
    <w:rsid w:val="003D005E"/>
    <w:rsid w:val="004060D9"/>
    <w:rsid w:val="004B51B9"/>
    <w:rsid w:val="004F24BC"/>
    <w:rsid w:val="005322E6"/>
    <w:rsid w:val="00562F2F"/>
    <w:rsid w:val="00567032"/>
    <w:rsid w:val="005A1570"/>
    <w:rsid w:val="005A5A87"/>
    <w:rsid w:val="005D63CF"/>
    <w:rsid w:val="005E531C"/>
    <w:rsid w:val="00624C12"/>
    <w:rsid w:val="00645AB2"/>
    <w:rsid w:val="00651B43"/>
    <w:rsid w:val="00687949"/>
    <w:rsid w:val="006C6923"/>
    <w:rsid w:val="006E14CC"/>
    <w:rsid w:val="006F1199"/>
    <w:rsid w:val="006F5A0F"/>
    <w:rsid w:val="00783022"/>
    <w:rsid w:val="007B3EC5"/>
    <w:rsid w:val="007F7246"/>
    <w:rsid w:val="00814414"/>
    <w:rsid w:val="008454EC"/>
    <w:rsid w:val="00863FFD"/>
    <w:rsid w:val="008A7BDD"/>
    <w:rsid w:val="008B2AA3"/>
    <w:rsid w:val="008B2DB3"/>
    <w:rsid w:val="009166BA"/>
    <w:rsid w:val="0093082B"/>
    <w:rsid w:val="00930E80"/>
    <w:rsid w:val="00954981"/>
    <w:rsid w:val="009706D0"/>
    <w:rsid w:val="009B3E5B"/>
    <w:rsid w:val="00A01AA4"/>
    <w:rsid w:val="00A639A7"/>
    <w:rsid w:val="00AA642C"/>
    <w:rsid w:val="00B267E7"/>
    <w:rsid w:val="00B43C7F"/>
    <w:rsid w:val="00B71D75"/>
    <w:rsid w:val="00B72C1F"/>
    <w:rsid w:val="00B77427"/>
    <w:rsid w:val="00B97978"/>
    <w:rsid w:val="00BA4A20"/>
    <w:rsid w:val="00BC42EA"/>
    <w:rsid w:val="00BD314A"/>
    <w:rsid w:val="00C10F84"/>
    <w:rsid w:val="00C97B05"/>
    <w:rsid w:val="00CA623E"/>
    <w:rsid w:val="00CB1647"/>
    <w:rsid w:val="00CE5958"/>
    <w:rsid w:val="00D247D4"/>
    <w:rsid w:val="00D3061A"/>
    <w:rsid w:val="00D64898"/>
    <w:rsid w:val="00DB368F"/>
    <w:rsid w:val="00DB4E9D"/>
    <w:rsid w:val="00DC6611"/>
    <w:rsid w:val="00DE4417"/>
    <w:rsid w:val="00DF3697"/>
    <w:rsid w:val="00DF5451"/>
    <w:rsid w:val="00E12A39"/>
    <w:rsid w:val="00E56E4D"/>
    <w:rsid w:val="00E62805"/>
    <w:rsid w:val="00E87C8C"/>
    <w:rsid w:val="00EC288B"/>
    <w:rsid w:val="00EF20C0"/>
    <w:rsid w:val="00F40133"/>
    <w:rsid w:val="00F64DCC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68a6,#008c4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B4E9D"/>
    <w:rPr>
      <w:color w:val="0000FF"/>
      <w:u w:val="single"/>
    </w:rPr>
  </w:style>
  <w:style w:type="character" w:styleId="FollowedHyperlink">
    <w:name w:val="FollowedHyperlink"/>
    <w:basedOn w:val="DefaultParagraphFont"/>
    <w:rsid w:val="00BA4A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54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498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9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5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9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B4E9D"/>
    <w:rPr>
      <w:color w:val="0000FF"/>
      <w:u w:val="single"/>
    </w:rPr>
  </w:style>
  <w:style w:type="character" w:styleId="FollowedHyperlink">
    <w:name w:val="FollowedHyperlink"/>
    <w:basedOn w:val="DefaultParagraphFont"/>
    <w:rsid w:val="00BA4A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54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498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9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5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9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Risk Assessment</vt:lpstr>
    </vt:vector>
  </TitlesOfParts>
  <Company>Health and Safety Executive</Company>
  <LinksUpToDate>false</LinksUpToDate>
  <CharactersWithSpaces>561</CharactersWithSpaces>
  <SharedDoc>false</SharedDoc>
  <HLinks>
    <vt:vector size="30" baseType="variant">
      <vt:variant>
        <vt:i4>6488184</vt:i4>
      </vt:variant>
      <vt:variant>
        <vt:i4>219</vt:i4>
      </vt:variant>
      <vt:variant>
        <vt:i4>0</vt:i4>
      </vt:variant>
      <vt:variant>
        <vt:i4>5</vt:i4>
      </vt:variant>
      <vt:variant>
        <vt:lpwstr>http://www.hse.gov.uk/risk/casestudies/</vt:lpwstr>
      </vt:variant>
      <vt:variant>
        <vt:lpwstr/>
      </vt:variant>
      <vt:variant>
        <vt:i4>6488184</vt:i4>
      </vt:variant>
      <vt:variant>
        <vt:i4>66</vt:i4>
      </vt:variant>
      <vt:variant>
        <vt:i4>0</vt:i4>
      </vt:variant>
      <vt:variant>
        <vt:i4>5</vt:i4>
      </vt:variant>
      <vt:variant>
        <vt:lpwstr>http://www.hse.gov.uk/risk/casestudies/</vt:lpwstr>
      </vt:variant>
      <vt:variant>
        <vt:lpwstr/>
      </vt:variant>
      <vt:variant>
        <vt:i4>1179742</vt:i4>
      </vt:variant>
      <vt:variant>
        <vt:i4>63</vt:i4>
      </vt:variant>
      <vt:variant>
        <vt:i4>0</vt:i4>
      </vt:variant>
      <vt:variant>
        <vt:i4>5</vt:i4>
      </vt:variant>
      <vt:variant>
        <vt:lpwstr>http://www.hse.gov.uk/riddor</vt:lpwstr>
      </vt:variant>
      <vt:variant>
        <vt:lpwstr/>
      </vt:variant>
      <vt:variant>
        <vt:i4>8257650</vt:i4>
      </vt:variant>
      <vt:variant>
        <vt:i4>60</vt:i4>
      </vt:variant>
      <vt:variant>
        <vt:i4>0</vt:i4>
      </vt:variant>
      <vt:variant>
        <vt:i4>5</vt:i4>
      </vt:variant>
      <vt:variant>
        <vt:lpwstr>https://www.gov.uk/workplace-fire-safety-your-responsibilities</vt:lpwstr>
      </vt:variant>
      <vt:variant>
        <vt:lpwstr/>
      </vt:variant>
      <vt:variant>
        <vt:i4>1179742</vt:i4>
      </vt:variant>
      <vt:variant>
        <vt:i4>48</vt:i4>
      </vt:variant>
      <vt:variant>
        <vt:i4>0</vt:i4>
      </vt:variant>
      <vt:variant>
        <vt:i4>5</vt:i4>
      </vt:variant>
      <vt:variant>
        <vt:lpwstr>http://www.hse.gov.uk/riddor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Risk Assessment</dc:title>
  <dc:creator>Matthew Jayes</dc:creator>
  <cp:lastModifiedBy>Angela Ashby</cp:lastModifiedBy>
  <cp:revision>2</cp:revision>
  <dcterms:created xsi:type="dcterms:W3CDTF">2017-09-25T15:46:00Z</dcterms:created>
  <dcterms:modified xsi:type="dcterms:W3CDTF">2017-09-25T15:46:00Z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